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tbl>
      <w:tblPr>
        <w:tblW w:w="5000" w:type="pct"/>
        <w:jc w:val="left"/>
        <w:tblInd w:w="7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firstRow="1" w:noVBand="1" w:lastRow="0" w:firstColumn="1" w:lastColumn="0" w:noHBand="0" w:val="04a0"/>
      </w:tblPr>
      <w:tblGrid>
        <w:gridCol w:w="3881"/>
        <w:gridCol w:w="5757"/>
      </w:tblGrid>
      <w:tr>
        <w:trPr/>
        <w:tc>
          <w:tcPr>
            <w:tcW w:w="96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Материально- техническое обеспечение  и оснащенность образовательного процесса филиала« МАОУ «Кутарбитская СОШ» - «Дегтяревская СОШ»</w:t>
            </w:r>
          </w:p>
        </w:tc>
      </w:tr>
      <w:tr>
        <w:trPr/>
        <w:tc>
          <w:tcPr>
            <w:tcW w:w="3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Помещение и его состояние</w:t>
            </w:r>
          </w:p>
        </w:tc>
        <w:tc>
          <w:tcPr>
            <w:tcW w:w="5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Общая площадь всех помещений – 1187,3 м2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 xml:space="preserve">Количество классных комнат (включая учебные кабинеты и лаборатории, учебные мастерские) – 15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их площадь –619,5 кв.м;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из них специализированных – 2: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информатики – 1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Autospacing="1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физики, химии — 1</w:t>
            </w:r>
          </w:p>
          <w:p>
            <w:pPr>
              <w:pStyle w:val="Normal"/>
              <w:widowControl w:val="false"/>
              <w:bidi w:val="0"/>
              <w:spacing w:lineRule="auto" w:line="240" w:beforeAutospacing="1" w:afterAutospacing="1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Их площадь –88,8 кв.м</w:t>
            </w:r>
          </w:p>
          <w:p>
            <w:pPr>
              <w:pStyle w:val="Normal"/>
              <w:widowControl w:val="false"/>
              <w:bidi w:val="0"/>
              <w:spacing w:lineRule="auto" w:line="240" w:beforeAutospacing="1" w:afterAutospacing="1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Количество помещений для сопровождения образовательного процесса – 0</w:t>
            </w:r>
          </w:p>
          <w:p>
            <w:pPr>
              <w:pStyle w:val="Normal"/>
              <w:widowControl w:val="false"/>
              <w:bidi w:val="0"/>
              <w:spacing w:lineRule="auto" w:line="240" w:beforeAutospacing="1" w:afterAutospacing="1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Год постройки: 1978 г.</w:t>
            </w:r>
          </w:p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Состояние помещений удовлетворительное.</w:t>
            </w:r>
          </w:p>
        </w:tc>
      </w:tr>
      <w:tr>
        <w:trPr/>
        <w:tc>
          <w:tcPr>
            <w:tcW w:w="3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Тип здания</w:t>
            </w:r>
          </w:p>
        </w:tc>
        <w:tc>
          <w:tcPr>
            <w:tcW w:w="5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Кирпичное и   шлако-бетонное здание (в здании обеспечен доступ для инвалидов и лиц с ограниченными возможностями  здоровья: пандус, кнопка вызова персонала).</w:t>
            </w:r>
          </w:p>
        </w:tc>
      </w:tr>
      <w:tr>
        <w:trPr/>
        <w:tc>
          <w:tcPr>
            <w:tcW w:w="3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Техническая оснащенность (в том числе специальное программное обеспечение для обучения инвалидов и лиц с ограниченными возможностями здоровья):</w:t>
            </w:r>
          </w:p>
          <w:p>
            <w:pPr>
              <w:pStyle w:val="Normal"/>
              <w:widowControl w:val="false"/>
              <w:bidi w:val="0"/>
              <w:spacing w:lineRule="auto" w:line="240" w:beforeAutospacing="1" w:afterAutospacing="1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o    Персональных компьютеров – 11</w:t>
            </w:r>
          </w:p>
          <w:p>
            <w:pPr>
              <w:pStyle w:val="Normal"/>
              <w:widowControl w:val="false"/>
              <w:bidi w:val="0"/>
              <w:spacing w:lineRule="auto" w:line="240" w:beforeAutospacing="1" w:afterAutospacing="1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o    Количество принтеров – 4</w:t>
            </w:r>
          </w:p>
          <w:p>
            <w:pPr>
              <w:pStyle w:val="Normal"/>
              <w:widowControl w:val="false"/>
              <w:bidi w:val="0"/>
              <w:spacing w:lineRule="auto" w:line="240" w:beforeAutospacing="1" w:afterAutospacing="1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o    Количество МФУ- 3</w:t>
            </w:r>
          </w:p>
          <w:p>
            <w:pPr>
              <w:pStyle w:val="Normal"/>
              <w:widowControl w:val="false"/>
              <w:bidi w:val="0"/>
              <w:spacing w:lineRule="auto" w:line="240" w:beforeAutospacing="1" w:afterAutospacing="1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o    Количество множительных аппаратов – 2</w:t>
            </w:r>
          </w:p>
          <w:p>
            <w:pPr>
              <w:pStyle w:val="Normal"/>
              <w:widowControl w:val="false"/>
              <w:bidi w:val="0"/>
              <w:spacing w:lineRule="auto" w:line="240" w:beforeAutospacing="1" w:afterAutospacing="1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 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информация о наличии видео-, радио- и телеаппаратуры</w:t>
            </w:r>
          </w:p>
          <w:p>
            <w:pPr>
              <w:pStyle w:val="Normal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Количество телевизоров – 1</w:t>
            </w:r>
          </w:p>
          <w:p>
            <w:pPr>
              <w:pStyle w:val="Normal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Количество мультимедиапроекторов – 7</w:t>
            </w:r>
          </w:p>
          <w:p>
            <w:pPr>
              <w:pStyle w:val="Normal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Количество цифровых фотоаппаратов – 1</w:t>
            </w:r>
          </w:p>
          <w:p>
            <w:pPr>
              <w:pStyle w:val="Normal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Интерактивные доски — 1</w:t>
            </w:r>
          </w:p>
          <w:p>
            <w:pPr>
              <w:pStyle w:val="Normal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Autospacing="1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Комплект телестудии -1</w:t>
            </w:r>
            <w:bookmarkStart w:id="0" w:name="_GoBack"/>
            <w:bookmarkEnd w:id="0"/>
          </w:p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В ОО для учащихся обеспечен доступ к информационным системам, в том числе приспособленным для использования инвалидами и лицами с ограниченными возможностями здоровья: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имеется локальная компьютерная сеть.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имеется выход в Интернет.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в школе доступны следующие сетевые ресурсы: </w:t>
            </w:r>
            <w:hyperlink r:id="rId2">
              <w:r>
                <w:rPr>
                  <w:rFonts w:eastAsia="Times New Roman" w:cs="Arial" w:ascii="Arial" w:hAnsi="Arial"/>
                  <w:color w:val="2E78BC"/>
                  <w:sz w:val="23"/>
                  <w:szCs w:val="23"/>
                  <w:u w:val="single"/>
                  <w:lang w:eastAsia="ru-RU"/>
                </w:rPr>
                <w:t>http://www.fipi.ru</w:t>
              </w:r>
            </w:hyperlink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 – ФИПИ, Министерство образования и науки Российской Федерации, Российский общеобразовательный портал — </w:t>
            </w:r>
            <w:hyperlink r:id="rId3">
              <w:r>
                <w:rPr>
                  <w:rFonts w:eastAsia="Times New Roman" w:cs="Arial" w:ascii="Arial" w:hAnsi="Arial"/>
                  <w:color w:val="2E78BC"/>
                  <w:sz w:val="23"/>
                  <w:szCs w:val="23"/>
                  <w:u w:val="single"/>
                  <w:lang w:eastAsia="ru-RU"/>
                </w:rPr>
                <w:t>http://www.school.edu.ru</w:t>
              </w:r>
            </w:hyperlink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, Базовые федеральные образовательные порталы — </w:t>
            </w:r>
            <w:hyperlink r:id="rId4">
              <w:r>
                <w:rPr>
                  <w:rFonts w:eastAsia="Times New Roman" w:cs="Arial" w:ascii="Arial" w:hAnsi="Arial"/>
                  <w:color w:val="2E78BC"/>
                  <w:sz w:val="23"/>
                  <w:szCs w:val="23"/>
                  <w:u w:val="single"/>
                  <w:lang w:eastAsia="ru-RU"/>
                </w:rPr>
                <w:t>http://www.edu.ru/db/portal/sites/portal_page.htm</w:t>
              </w:r>
            </w:hyperlink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 xml:space="preserve">,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40" w:before="0" w:afterAutospacing="1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Образовательный портал — </w:t>
            </w:r>
            <w:hyperlink r:id="rId5">
              <w:r>
                <w:rPr>
                  <w:rFonts w:eastAsia="Times New Roman" w:cs="Arial" w:ascii="Arial" w:hAnsi="Arial"/>
                  <w:color w:val="2E78BC"/>
                  <w:sz w:val="23"/>
                  <w:szCs w:val="23"/>
                  <w:u w:val="single"/>
                  <w:lang w:eastAsia="ru-RU"/>
                </w:rPr>
                <w:t>https://uchi.ru</w:t>
              </w:r>
            </w:hyperlink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, </w:t>
            </w:r>
            <w:hyperlink r:id="rId6">
              <w:r>
                <w:rPr>
                  <w:rFonts w:eastAsia="Times New Roman" w:cs="Arial" w:ascii="Arial" w:hAnsi="Arial"/>
                  <w:color w:val="2E78BC"/>
                  <w:sz w:val="23"/>
                  <w:szCs w:val="23"/>
                  <w:u w:val="single"/>
                  <w:lang w:eastAsia="ru-RU"/>
                </w:rPr>
                <w:t>foxford.ru</w:t>
              </w:r>
            </w:hyperlink>
          </w:p>
        </w:tc>
      </w:tr>
      <w:tr>
        <w:trPr/>
        <w:tc>
          <w:tcPr>
            <w:tcW w:w="3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 xml:space="preserve">Оснащённость учебного процесса учебно-наглядными пособиями, учебно-лабораторными пособиями, техническими средствами, специальными техническими средствами обучения коллективного и индивидуального пользования </w:t>
            </w:r>
          </w:p>
        </w:tc>
        <w:tc>
          <w:tcPr>
            <w:tcW w:w="5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bidi w:val="0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Библиотека (учебные DVD диски) – 48 экз.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Биология (атласы, карта, микроскопы -7, таблицы-45, гербарии -4комплекта, коллекции)  - 56 экз.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Начальная школа (таблицы, касса букв и слогов) – 25 экз.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Физика (таблицы) – 50 экз.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bidi w:val="0"/>
              <w:spacing w:lineRule="auto" w:line="240" w:before="0" w:afterAutospacing="1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Химия (таблицы по химии, CD диски) – 20 экз.</w:t>
            </w:r>
          </w:p>
        </w:tc>
      </w:tr>
      <w:tr>
        <w:trPr/>
        <w:tc>
          <w:tcPr>
            <w:tcW w:w="3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Учебно-лабораторное оборудование</w:t>
            </w:r>
          </w:p>
        </w:tc>
        <w:tc>
          <w:tcPr>
            <w:tcW w:w="5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spacing w:lineRule="auto" w:line="240" w:beforeAutospacing="1" w:after="0"/>
              <w:jc w:val="left"/>
              <w:rPr>
                <w:rFonts w:ascii="Arial" w:hAnsi="Arial" w:eastAsia="Times New Roman" w:cs="Arial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sz w:val="23"/>
                <w:szCs w:val="23"/>
                <w:lang w:eastAsia="ru-RU"/>
              </w:rPr>
              <w:t>Физика – 374 экз.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spacing w:lineRule="auto" w:line="240" w:before="0" w:afterAutospacing="1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sz w:val="23"/>
                <w:szCs w:val="23"/>
                <w:lang w:eastAsia="ru-RU"/>
              </w:rPr>
              <w:t>Химия – 129 экз.</w:t>
            </w:r>
          </w:p>
        </w:tc>
      </w:tr>
      <w:tr>
        <w:trPr/>
        <w:tc>
          <w:tcPr>
            <w:tcW w:w="3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Библиотечный фонд школы (тыс. экз.)</w:t>
            </w:r>
          </w:p>
        </w:tc>
        <w:tc>
          <w:tcPr>
            <w:tcW w:w="5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Фонд – 3919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- Число книг – 3831 экз.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- Число учебников – 2417 экз.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>
        <w:trPr/>
        <w:tc>
          <w:tcPr>
            <w:tcW w:w="3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Спортивные и актовый залы</w:t>
            </w:r>
          </w:p>
        </w:tc>
        <w:tc>
          <w:tcPr>
            <w:tcW w:w="5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спортзалы –1 (общая площадь – 151,4 м2)</w:t>
            </w:r>
          </w:p>
        </w:tc>
      </w:tr>
      <w:tr>
        <w:trPr/>
        <w:tc>
          <w:tcPr>
            <w:tcW w:w="3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Условия питания</w:t>
            </w:r>
          </w:p>
        </w:tc>
        <w:tc>
          <w:tcPr>
            <w:tcW w:w="5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Организовано горячее питание в школьной столовой на 40 посадочных мест. Созданы условия для питания инвалидов и лиц с ограниченными возможностями  здоровья (инвалиды с нарушением зрения, умственного развития)</w:t>
            </w:r>
          </w:p>
        </w:tc>
      </w:tr>
      <w:tr>
        <w:trPr/>
        <w:tc>
          <w:tcPr>
            <w:tcW w:w="3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Условия охраны здоровья учащихся, в том числе инвалидов и лиц с ограниченными возможностями здоровья</w:t>
            </w:r>
          </w:p>
        </w:tc>
        <w:tc>
          <w:tcPr>
            <w:tcW w:w="5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Медицинский кабинет на ФАПе (Договор с ГБУЗ «Областная больница №3»)</w:t>
            </w:r>
          </w:p>
        </w:tc>
      </w:tr>
      <w:tr>
        <w:trPr/>
        <w:tc>
          <w:tcPr>
            <w:tcW w:w="3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Доступ к информационным системам</w:t>
            </w:r>
          </w:p>
        </w:tc>
        <w:tc>
          <w:tcPr>
            <w:tcW w:w="5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Подключение к сети Интернет, локальная сеть</w:t>
            </w:r>
          </w:p>
        </w:tc>
      </w:tr>
      <w:tr>
        <w:trPr/>
        <w:tc>
          <w:tcPr>
            <w:tcW w:w="3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Пришкольная территория</w:t>
            </w:r>
          </w:p>
        </w:tc>
        <w:tc>
          <w:tcPr>
            <w:tcW w:w="5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18815,9 м. кв.</w:t>
            </w:r>
          </w:p>
        </w:tc>
      </w:tr>
      <w:tr>
        <w:trPr/>
        <w:tc>
          <w:tcPr>
            <w:tcW w:w="3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Спортивные сооружения и площадки</w:t>
            </w:r>
          </w:p>
        </w:tc>
        <w:tc>
          <w:tcPr>
            <w:tcW w:w="5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отсутствуют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ipi.ru/" TargetMode="External"/><Relationship Id="rId3" Type="http://schemas.openxmlformats.org/officeDocument/2006/relationships/hyperlink" Target="http://www.school.edu.ru/" TargetMode="External"/><Relationship Id="rId4" Type="http://schemas.openxmlformats.org/officeDocument/2006/relationships/hyperlink" Target="http://www.edu.ru/db/portal/sites/portal_page.htm" TargetMode="External"/><Relationship Id="rId5" Type="http://schemas.openxmlformats.org/officeDocument/2006/relationships/hyperlink" Target="https://uchi.ru/" TargetMode="External"/><Relationship Id="rId6" Type="http://schemas.openxmlformats.org/officeDocument/2006/relationships/hyperlink" Target="http://foxford.ru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LibreOffice/7.4.3.2$Windows_X86_64 LibreOffice_project/1048a8393ae2eeec98dff31b5c133c5f1d08b890</Application>
  <AppVersion>15.0000</AppVersion>
  <Pages>2</Pages>
  <Words>385</Words>
  <Characters>2628</Characters>
  <CharactersWithSpaces>2992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2023-12-21T23:46:08Z</dcterms:created>
  <dc:creator/>
  <dc:description/>
  <dc:language>ru-RU</dc:language>
  <cp:lastModifiedBy/>
  <dcterms:modified xsi:type="dcterms:W3CDTF">2023-12-21T23:51:20Z</dcterms:modified>
  <cp:revision>4</cp:revision>
  <dc:subject/>
  <dc:title/>
</cp:coreProperties>
</file>