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</w:p>
    <w:p>
      <w:pPr>
        <w:pStyle w:val="Normal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2.4. Категории обслуживаемого населения по возрасту (</w:t>
      </w:r>
      <w:r>
        <w:rPr>
          <w:rFonts w:ascii="Times New Roman" w:hAnsi="Times New Roman"/>
          <w:i/>
          <w:sz w:val="24"/>
          <w:szCs w:val="24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дети</w:t>
        <w:tab/>
      </w:r>
    </w:p>
    <w:p>
      <w:pPr>
        <w:pStyle w:val="Normal"/>
        <w:widowControl w:val="false"/>
        <w:tabs>
          <w:tab w:val="clear" w:pos="708"/>
          <w:tab w:val="left" w:pos="602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color w:val="FF0000"/>
          <w:sz w:val="28"/>
          <w:szCs w:val="28"/>
        </w:rPr>
      </w:pPr>
      <w:r>
        <w:rPr>
          <w:rFonts w:eastAsia="Courier New" w:ascii="Times New Roman" w:hAnsi="Times New Roman"/>
          <w:bCs/>
          <w:color w:val="000000"/>
          <w:sz w:val="24"/>
          <w:szCs w:val="24"/>
        </w:rPr>
        <w:t>2.5.  Категории обслуживаемых инвалидов (</w:t>
      </w:r>
      <w:r>
        <w:rPr>
          <w:rFonts w:eastAsia="Courier New" w:ascii="Times New Roman" w:hAnsi="Times New Roman"/>
          <w:bCs/>
          <w:i/>
          <w:color w:val="000000"/>
          <w:sz w:val="24"/>
          <w:szCs w:val="24"/>
        </w:rPr>
        <w:t>К, О, С, Г, У</w:t>
      </w:r>
      <w:r>
        <w:rPr>
          <w:rFonts w:eastAsia="Courier New" w:ascii="Times New Roman" w:hAnsi="Times New Roman"/>
          <w:bCs/>
          <w:color w:val="000000"/>
          <w:sz w:val="24"/>
          <w:szCs w:val="24"/>
        </w:rPr>
        <w:t>):</w:t>
      </w:r>
      <w:r>
        <w:rPr>
          <w:rFonts w:eastAsia="Courier New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Courier New" w:ascii="Times New Roman" w:hAnsi="Times New Roman"/>
          <w:bCs/>
          <w:color w:val="000000"/>
          <w:sz w:val="24"/>
          <w:szCs w:val="24"/>
          <w:u w:val="single"/>
        </w:rPr>
        <w:tab/>
      </w:r>
      <w:r>
        <w:rPr>
          <w:rFonts w:eastAsia="Courier New" w:ascii="Times New Roman" w:hAnsi="Times New Roman"/>
          <w:bCs/>
          <w:i/>
          <w:color w:val="000000"/>
          <w:sz w:val="24"/>
          <w:szCs w:val="24"/>
          <w:u w:val="single"/>
        </w:rPr>
        <w:t>инвалиды с нарушениями опорно-двигательного аппарата, нарушениями зрения, нарушениями слуха, нарушениями умственного развития</w:t>
        <w:tab/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Плановая мощность: (</w:t>
      </w:r>
      <w:r>
        <w:rPr>
          <w:rFonts w:ascii="Times New Roman" w:hAnsi="Times New Roman"/>
          <w:i/>
          <w:sz w:val="24"/>
          <w:szCs w:val="24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  <w:u w:val="single"/>
        </w:rPr>
        <w:t>140 ч.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458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Участие в исполнении ИПРА инвалида, ребенка-инвалида </w:t>
      </w:r>
      <w:r>
        <w:rPr>
          <w:rFonts w:ascii="Times New Roman" w:hAnsi="Times New Roman"/>
          <w:bCs/>
          <w:color w:val="000000"/>
          <w:sz w:val="24"/>
          <w:szCs w:val="24"/>
          <w:shd w:fill="FFFFFF" w:val="clear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shd w:fill="FFFFFF" w:val="clear"/>
        </w:rPr>
        <w:t>да, нет</w:t>
      </w:r>
      <w:r>
        <w:rPr>
          <w:rFonts w:ascii="Times New Roman" w:hAnsi="Times New Roman"/>
          <w:bCs/>
          <w:color w:val="000000"/>
          <w:sz w:val="24"/>
          <w:szCs w:val="24"/>
          <w:shd w:fill="FFFFFF" w:val="clear"/>
        </w:rPr>
        <w:t>):</w:t>
      </w:r>
      <w:r>
        <w:rPr>
          <w:rFonts w:ascii="Times New Roman" w:hAnsi="Times New Roman"/>
          <w:bCs/>
          <w:color w:val="000000"/>
          <w:sz w:val="24"/>
          <w:szCs w:val="24"/>
          <w:u w:val="single"/>
          <w:shd w:fill="FFFFFF" w:val="clear"/>
        </w:rPr>
        <w:tab/>
        <w:tab/>
      </w:r>
      <w:r>
        <w:rPr>
          <w:rFonts w:ascii="Times New Roman" w:hAnsi="Times New Roman"/>
          <w:bCs/>
          <w:i/>
          <w:color w:val="000000"/>
          <w:sz w:val="24"/>
          <w:szCs w:val="24"/>
          <w:u w:val="single"/>
          <w:shd w:fill="FFFFFF" w:val="clear"/>
        </w:rPr>
        <w:t>нет</w:t>
      </w:r>
      <w:r>
        <w:rPr>
          <w:rFonts w:ascii="Times New Roman" w:hAnsi="Times New Roman"/>
          <w:bCs/>
          <w:color w:val="000000"/>
          <w:sz w:val="24"/>
          <w:szCs w:val="24"/>
          <w:u w:val="single"/>
          <w:shd w:fill="FFFFFF" w:val="clear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3.1. Путь следования к объекту пассажирским транспортом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u w:val="single"/>
        </w:rPr>
        <w:t>Школьный автобус по маршруту: с. Дегтярево – д. Ушакова – д. Тоболтура;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объекту: </w:t>
      </w:r>
      <w:r>
        <w:rPr>
          <w:rFonts w:ascii="Times New Roman" w:hAnsi="Times New Roman"/>
          <w:sz w:val="24"/>
          <w:szCs w:val="24"/>
          <w:u w:val="single"/>
        </w:rPr>
        <w:tab/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3.2. Путь к объекту от ближайшей остановки пассажирского транспорта: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транспорта: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>150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м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3.2.2 время движения (пешком):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3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мин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3.2.3 наличие выделенного от проезжей части пешеходного пути (</w:t>
      </w:r>
      <w:r>
        <w:rPr>
          <w:rFonts w:ascii="Times New Roman" w:hAnsi="Times New Roman"/>
          <w:i/>
          <w:sz w:val="24"/>
          <w:szCs w:val="24"/>
        </w:rPr>
        <w:t>да, нет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да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3.2.4 Перекрестки (</w:t>
      </w:r>
      <w:r>
        <w:rPr>
          <w:rFonts w:ascii="Times New Roman" w:hAnsi="Times New Roman"/>
          <w:i/>
          <w:sz w:val="24"/>
          <w:szCs w:val="24"/>
        </w:rPr>
        <w:t>нерегулируемые; регулируемые, со звуковой сигнализацией, таймером; нет)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регулируемые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3.2.5 Информация на пути следования к объекту: (</w:t>
      </w:r>
      <w:r>
        <w:rPr>
          <w:rFonts w:ascii="Times New Roman" w:hAnsi="Times New Roman"/>
          <w:i/>
          <w:sz w:val="24"/>
          <w:szCs w:val="24"/>
        </w:rPr>
        <w:t>акустическая, тактильная, визуальная; нет)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визуальная</w:t>
      </w:r>
      <w:r>
        <w:rPr>
          <w:rFonts w:ascii="Times New Roman" w:hAnsi="Times New Roman"/>
          <w:sz w:val="24"/>
          <w:szCs w:val="24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3.2.6 Перепады высоты на пути: (</w:t>
      </w:r>
      <w:r>
        <w:rPr>
          <w:rFonts w:ascii="Times New Roman" w:hAnsi="Times New Roman"/>
          <w:i/>
          <w:sz w:val="24"/>
          <w:szCs w:val="24"/>
        </w:rPr>
        <w:t xml:space="preserve">есть, нет): </w:t>
      </w:r>
      <w:r>
        <w:rPr>
          <w:rFonts w:ascii="Times New Roman" w:hAnsi="Times New Roman"/>
          <w:sz w:val="24"/>
          <w:szCs w:val="24"/>
          <w:u w:val="single"/>
        </w:rPr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3.3. Организация доступности объекта для МГН – форма обслуживания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0"/>
        <w:gridCol w:w="4111"/>
        <w:gridCol w:w="4661"/>
      </w:tblGrid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Категория МГН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(вид нарушения)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(формы обслуживания) *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категории МГН</w:t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2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>
        <w:trPr>
          <w:trHeight w:val="468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>
        <w:trPr>
          <w:trHeight w:val="404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>
        <w:trPr>
          <w:trHeight w:val="434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* - указывается один из вариантов: «А», «Б», «ДУ», «ВНД»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3.4. Состояние доступности основных структурно-функциональных зон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3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7"/>
        <w:gridCol w:w="4126"/>
        <w:gridCol w:w="4682"/>
      </w:tblGrid>
      <w:tr>
        <w:trPr>
          <w:trHeight w:val="276" w:hRule="atLeast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доступности,</w:t>
            </w:r>
          </w:p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 для основных категорий МГН</w:t>
            </w:r>
          </w:p>
        </w:tc>
      </w:tr>
      <w:tr>
        <w:trPr>
          <w:trHeight w:val="276" w:hRule="atLeast"/>
        </w:trPr>
        <w:tc>
          <w:tcPr>
            <w:tcW w:w="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6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ДЧ-В</w:t>
            </w:r>
          </w:p>
        </w:tc>
      </w:tr>
      <w:tr>
        <w:trPr>
          <w:trHeight w:val="35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(Г, У); ДЧ-И (О); ДУ (К, С)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088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54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(О, У); ДУ (К, С, Г)</w:t>
            </w:r>
          </w:p>
        </w:tc>
      </w:tr>
      <w:tr>
        <w:trPr>
          <w:trHeight w:val="419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(К, О, У); ДУ (С, Г)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</w:rPr>
        <w:t>3.5. ИТОГОВОЕ ЗАКЛЮЧЕНИЕ о состоянии доступности ОСИ</w:t>
      </w:r>
      <w:r>
        <w:rPr>
          <w:rFonts w:ascii="Times New Roman" w:hAnsi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Общее состояние доступности объекта оценено: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доступное частично для инвалидов категории У (ДЧ-И (У)), доступное условно для инвалидов категории О, С, Г (ДУ (О, С, Г)) и временно недоступно для инвалидов категории К (ВНД (К)).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Управленческое решение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Рекомендации по адаптации основных структурно-функциональных зон объекта</w:t>
      </w:r>
    </w:p>
    <w:p>
      <w:pPr>
        <w:pStyle w:val="ListParagraph"/>
        <w:spacing w:lineRule="auto" w:line="240" w:before="0" w:after="0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2"/>
        <w:gridCol w:w="3086"/>
        <w:gridCol w:w="5718"/>
      </w:tblGrid>
      <w:tr>
        <w:trPr>
          <w:trHeight w:val="798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Рекомендации по адаптации объекта (виды работ)</w:t>
            </w:r>
          </w:p>
        </w:tc>
      </w:tr>
      <w:tr>
        <w:trPr>
          <w:trHeight w:val="553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организационные мероприятия</w:t>
            </w:r>
          </w:p>
        </w:tc>
      </w:tr>
      <w:tr>
        <w:trPr>
          <w:trHeight w:val="547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Вход (входы) в здание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оказание ситуационной помощи; индивидуальное решение с ТСР</w:t>
            </w:r>
          </w:p>
        </w:tc>
      </w:tr>
      <w:tr>
        <w:trPr>
          <w:trHeight w:val="510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>
          <w:trHeight w:val="750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организационные мероприятия</w:t>
            </w:r>
          </w:p>
        </w:tc>
      </w:tr>
      <w:tr>
        <w:trPr>
          <w:trHeight w:val="450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Санитарно-гигиенические помещения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организационные мероприятия</w:t>
            </w:r>
          </w:p>
        </w:tc>
      </w:tr>
      <w:tr>
        <w:trPr>
          <w:trHeight w:val="453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308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Система информации и связи (на всех зонах)</w:t>
            </w:r>
          </w:p>
        </w:tc>
        <w:tc>
          <w:tcPr>
            <w:tcW w:w="5718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организационные мероприятия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hanging="709" w:left="141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Планируемые мероприятия, проводимые при текущем ремонте, организационных мероприятиях  </w:t>
      </w:r>
    </w:p>
    <w:p>
      <w:pPr>
        <w:pStyle w:val="ListParagraph"/>
        <w:spacing w:lineRule="auto" w:line="240" w:before="0" w:after="0"/>
        <w:ind w:left="108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2"/>
        <w:gridCol w:w="2508"/>
        <w:gridCol w:w="6296"/>
      </w:tblGrid>
      <w:tr>
        <w:trPr>
          <w:trHeight w:val="750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№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Работы по адаптации объекта</w:t>
            </w:r>
          </w:p>
        </w:tc>
      </w:tr>
      <w:tr>
        <w:trPr>
          <w:trHeight w:val="495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Установить информационную вывеску перед входом на территорию с наименованием учреждения, режимом работы на контрастном фоне; установить дверные ручки входной калитки на территорию «П» или «Г» образной формы, контрастного цвета; написать письмо в местную Администрацию по вопросу обустройства парковочного места для людей с инвалидностью согласно требованиям СП 59.13330.2020</w:t>
            </w:r>
          </w:p>
        </w:tc>
      </w:tr>
      <w:tr>
        <w:trPr>
          <w:trHeight w:val="255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Вход (входы) в здание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Установить тактильные наземные указатели перед наружной лестницей согласно требованиям ГОСТ Р 52875-2018; на проступи краевых ступеней наружной лестницы нанести контрастные противоскользящие полосы 1-2шт. общей шириной 0,08-0,1м на расстоянии не более 0,04 м от края проступи; установить дополнительные центральные двухсторонние разделительные поручни на наружной лестнице (т.к. ширина лестницы более 4,0 м); контрастное выделение в начале и конце наружного пандуса; устройство двухсторонних поручней на высоте 0,9м и 0,7м от уровня пола с нетравмирующими завершениями длинной 0,3м; продублировать информационную вывеску с наименованием организации, шрифтом Брайля, и разместить   со стороны дверной ручки на расстоянии 10-50 см от края двери и на высоте от 1,2м до 1,6м от уровня пола; обозначить кнопку вызова сотрудника учреждения соответствующей табличкой; для преодоление инвалидом колясочником дверного порога входной двери необходима установка порожного мини пандуса; для преодоление инвалидом колясочником дверного порога двери тамбура необходима установка порожного мини пандуса</w:t>
            </w:r>
          </w:p>
        </w:tc>
      </w:tr>
      <w:tr>
        <w:trPr>
          <w:trHeight w:val="495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Установить тактильно-визуальную схему отображающую информацию о помещениях в здании, с правой стороны по ходу движения на удалении 2-4м от входа; установить информационные терминалы/киоски в учреждении; на проступи краевых ступеней внутренних лестниц нанести контрастные полосы на расстоянии 3-4см от края проступи (сверху ступени); контрастное выделение дверных   ручек эвакуационного выхода по отношению к фону дверного полотна; установить двухсторонние поручни на наружной лестнице эвакуационного выхода на высоте 0,9м от уровня пола с не травмирующими завершениями длинной 0,3м; на проступи краевых ступеней наружной лестнице эвакуационного выхода установить контрастные противоскользящие полосы 1-2шт. общей шириной 0,08-0,1м на расстоянии не более 0,04 м от края проступи; для преодоление инвалидом колясочником дверного порога эвакуационного выхода (фото №42) необходима установка порожного мини пандуса; для обеспечения эвакуации инвалидов-колясочников с входной площадки на прилегающую территорию (фото №42,43) использовать инвентарный пандус; на проступи краевых ступеней внутренней лестницы эвакуационного выхода (фото № 60-63) нанести контрастные полосы на расстоянии 3-4см от края проступи (сверху ступени)</w:t>
            </w:r>
          </w:p>
        </w:tc>
      </w:tr>
      <w:tr>
        <w:trPr>
          <w:trHeight w:val="2899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Установить информацию о помещениях на контрастном фоне; продублировать информацию о помещениях (библиотека, спортзал, столовая) шрифтом Брайля и разместить со стороны дверной ручки на расстоянии 10-50 см от края двери и на высоте от 1,2м до 1,6м от уровня пола.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Актовый зал: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установить информацию о помещении на контрастном фоне и продублировать шрифтом Брайля; для преодоление инвалидом колясочником дверного порога необходима установка порожного мини пандуса.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Столовая: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контрастное выделение дверных ручек по отношению к фону дверного полотна; установить краны подачи холодной воды с рычажной рукояткой или сенсорного типа.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Оборудовать зону приема посетителей на посту охраны портативная индукционная система усиления звука (например, индукционная петля «Альфа А3») для общения со слабослышащими.</w:t>
            </w:r>
          </w:p>
        </w:tc>
      </w:tr>
      <w:tr>
        <w:trPr>
          <w:trHeight w:val="3039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Санитарно-гигиенические помещения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Установить информация (туалет) на контрастном фоне и продублировать её шрифтом Брайля и разместить   со стороны дверной ручки на расстоянии 10-50 см от края двери и на высоте от 1,2м до 1,6м от уровня пола; контрастное выделение дверных ручек туалетной комнаты по отношению к фону дверного полотна; установить тревожную кнопку вызова сотрудника учреждения в туалетной комнате на высоте 0,85-1,1м от уровня пола и обозначить рельефно-графической табличкой; установить держатель для костылей, трости и других личных вещей; установить краны подачи холодной воды с рычажной рукояткой или сенсорного типа; установить стационарный поручень в туалетной комнате возле унитаза</w:t>
            </w:r>
          </w:p>
        </w:tc>
      </w:tr>
      <w:tr>
        <w:trPr>
          <w:trHeight w:val="704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250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Система информации и связи (на всех зонах)</w:t>
            </w:r>
          </w:p>
        </w:tc>
        <w:tc>
          <w:tcPr>
            <w:tcW w:w="629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en-US" w:bidi="ar-SA"/>
              </w:rPr>
              <w:t>Установить информационную вывеску с наименованием учреждения; установить информационные терминалы/киоски в учреждении; установить информацию о помещениях в учреждении на контрастном фоне; оборудовать зону приема посетителей на посту охраны портативная индукционная система усиления звука (например, индукционная петля «Альфа А3») для общения со слабослышащими; обустройство объекта тактильными средствами информации; установить информационную тактильную схему, отображающую информацию о помещениях в здании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Планируемые мероприятия, проводимые при капитальном ремонте</w:t>
      </w:r>
    </w:p>
    <w:p>
      <w:pPr>
        <w:pStyle w:val="ListParagraph"/>
        <w:spacing w:lineRule="auto" w:line="240" w:before="0" w:after="0"/>
        <w:ind w:left="108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"/>
        <w:gridCol w:w="3022"/>
        <w:gridCol w:w="5768"/>
      </w:tblGrid>
      <w:tr>
        <w:trPr>
          <w:trHeight w:val="668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№</w:t>
            </w:r>
          </w:p>
          <w:p>
            <w:pPr>
              <w:pStyle w:val="Normal"/>
              <w:widowControl/>
              <w:spacing w:lineRule="auto" w:line="240" w:before="0" w:after="0"/>
              <w:ind w:firstLine="26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п\п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Работы по адаптации объекта</w:t>
            </w:r>
          </w:p>
        </w:tc>
      </w:tr>
      <w:tr>
        <w:trPr>
          <w:trHeight w:val="432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</w:tr>
      <w:tr>
        <w:trPr>
          <w:trHeight w:val="223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Вход (входы) в здание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</w:tr>
      <w:tr>
        <w:trPr>
          <w:trHeight w:val="655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</w:tr>
      <w:tr>
        <w:trPr>
          <w:trHeight w:val="655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576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566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3022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Санитарно-гигиенические помещения</w:t>
            </w:r>
          </w:p>
        </w:tc>
        <w:tc>
          <w:tcPr>
            <w:tcW w:w="576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hd w:fill="FFFFFF" w:val="clear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Система информации и связи (на всех зонах)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240" w:after="0"/>
        <w:ind w:firstLine="709"/>
        <w:jc w:val="both"/>
        <w:rPr>
          <w:rFonts w:ascii="Times New Roman" w:hAnsi="Times New Roman" w:eastAsia="Courier New"/>
          <w:bCs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>4.4. Ожидаемый результат (по состоянию доступности) после выполнения работ по адаптации:</w:t>
      </w:r>
      <w:r>
        <w:rPr>
          <w:rFonts w:eastAsia="Courier New" w:ascii="Times New Roman" w:hAnsi="Times New Roman"/>
          <w:bCs/>
          <w:i/>
          <w:color w:val="000000"/>
          <w:sz w:val="24"/>
          <w:szCs w:val="24"/>
          <w:u w:val="single"/>
        </w:rPr>
        <w:t xml:space="preserve"> </w:t>
      </w:r>
      <w:r>
        <w:rPr>
          <w:rFonts w:eastAsia="Courier New" w:ascii="Times New Roman" w:hAnsi="Times New Roman"/>
          <w:bCs/>
          <w:i/>
          <w:sz w:val="24"/>
          <w:szCs w:val="24"/>
          <w:u w:val="single"/>
        </w:rPr>
        <w:t>реализация запланированных мероприятий позволит получить полную доступность зон для инвалидов категорий О, Г, У (ДП-И (О, Г, У)), доступное частично для категории инвалидов С (ДЧ-И (С) при условии если сотрудники отвечающие за оказание ситуационной помощи прошли обучение.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4.5. Для принятия решения </w:t>
      </w:r>
      <w:r>
        <w:rPr>
          <w:rFonts w:ascii="Times New Roman" w:hAnsi="Times New Roman"/>
          <w:sz w:val="24"/>
          <w:szCs w:val="24"/>
          <w:u w:val="single"/>
        </w:rPr>
        <w:t>требуется</w:t>
      </w:r>
      <w:r>
        <w:rPr>
          <w:rFonts w:ascii="Times New Roman" w:hAnsi="Times New Roman"/>
          <w:sz w:val="24"/>
          <w:szCs w:val="24"/>
        </w:rPr>
        <w:t xml:space="preserve">, не требуется (нужное подчеркнуть): </w:t>
      </w:r>
      <w:r>
        <w:rPr>
          <w:rFonts w:ascii="Times New Roman" w:hAnsi="Times New Roman"/>
          <w:i/>
          <w:sz w:val="24"/>
          <w:szCs w:val="24"/>
          <w:u w:val="single"/>
        </w:rPr>
        <w:t>согласование с общественными организациями инвалидов;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4.6.    Информация будет размещена на Карте доступности субъекта Российской Федерации ИС «Доступная среда»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sz w:val="24"/>
          <w:szCs w:val="24"/>
        </w:rPr>
      </w:pPr>
      <w:r>
        <w:fldChar w:fldCharType="begin"/>
      </w:r>
      <w:r>
        <w:rPr>
          <w:rStyle w:val="Hyperlink"/>
          <w:sz w:val="24"/>
          <w:szCs w:val="24"/>
          <w:rFonts w:ascii="Times New Roman" w:hAnsi="Times New Roman"/>
        </w:rPr>
        <w:instrText xml:space="preserve"> HYPERLINK "https://gis.72to.ru/orbismap/public_map/geoportal72/osi/" \l "68.344326,57.961423/7/"</w:instrText>
      </w:r>
      <w:r>
        <w:rPr>
          <w:rStyle w:val="Hyperlink"/>
          <w:sz w:val="24"/>
          <w:szCs w:val="24"/>
          <w:rFonts w:ascii="Times New Roman" w:hAnsi="Times New Roman"/>
        </w:rPr>
        <w:fldChar w:fldCharType="separate"/>
      </w:r>
      <w:r>
        <w:rPr>
          <w:rStyle w:val="Hyperlink"/>
          <w:rFonts w:ascii="Times New Roman" w:hAnsi="Times New Roman"/>
          <w:sz w:val="24"/>
          <w:szCs w:val="24"/>
        </w:rPr>
        <w:t>https://gis.72to.ru/orbismap/public_map/geoportal72/osi/#68.344326,57.961423/7/</w:t>
      </w:r>
      <w:r>
        <w:rPr>
          <w:rStyle w:val="Hyperlink"/>
          <w:sz w:val="24"/>
          <w:szCs w:val="24"/>
          <w:rFonts w:ascii="Times New Roman" w:hAnsi="Times New Roman"/>
        </w:rPr>
        <w:fldChar w:fldCharType="end"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(наименование сайта, портала)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4.7.  Все работы по адаптации объекта необходимо выполнять в соответствии с СП 59.13330.2016 Доступность зданий и сооружений для маломобильных групп населения, ГОСТ Р 52875-2018 Указатели тактильные наземные для инвалидов по зрению. Технические требования, ГОСТ Р 52131-2003 Средства отображения информации знаковые для инвалидов. Технические требования, ГОСТ Р 51261-2017 Устройства опорные стационарные реабилитационные. Типы и технические требования.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от 30.12.2009 N 384-ФЗ (ред. от 02.07.2013) "Технический регламент о безопасности зданий и сооружений".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Приказ Госкомархитектуры от 23.11.1988 N 312 "Об утверждении ведомственных строительных норм Госкомархитектуры "Положение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назначения" (вместе с "ВСН 58-88 (р). Ведомственные строительные нормы. 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назначения").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"Градостроительный кодекс Российской Федерации" от 29.12.2004 N 190-ФЗ (ред. от 30.12.2020) (с изм. и доп., вступ. в силу с 10.01.2021).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5. Особые отметки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  <w:t>ПРИЛОЖЕНИЯ: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Segoe UI">
    <w:charset w:val="cc"/>
    <w:family w:val="swiss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b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fals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 w:val="fals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b w:val="fals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 w:val="fals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b w:val="fals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b w:val="false"/>
      </w:rPr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557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15570"/>
    <w:pPr>
      <w:keepNext w:val="true"/>
      <w:keepLines/>
      <w:spacing w:lineRule="auto" w:line="240" w:before="0" w:after="0"/>
      <w:jc w:val="center"/>
      <w:outlineLvl w:val="0"/>
    </w:pPr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15570"/>
    <w:pPr>
      <w:keepNext w:val="true"/>
      <w:keepLines/>
      <w:spacing w:lineRule="auto" w:line="240" w:before="0" w:after="0"/>
      <w:jc w:val="center"/>
      <w:outlineLvl w:val="1"/>
    </w:pPr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Style13" w:customStyle="1">
    <w:name w:val="Ниж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InternetLink">
    <w:name w:val="Internet Link"/>
    <w:basedOn w:val="DefaultParagraphFont"/>
    <w:uiPriority w:val="99"/>
    <w:unhideWhenUsed/>
    <w:qFormat/>
    <w:rsid w:val="00507559"/>
    <w:rPr>
      <w:color w:themeColor="hyperlink" w:val="0000FF"/>
      <w:u w:val="single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572244"/>
    <w:rPr>
      <w:rFonts w:ascii="Segoe UI" w:hAnsi="Segoe UI" w:eastAsia="Calibri" w:cs="Segoe UI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80b1e"/>
    <w:pPr>
      <w:spacing w:before="0" w:after="200"/>
      <w:ind w:left="720"/>
      <w:contextualSpacing/>
    </w:pPr>
    <w:rPr/>
  </w:style>
  <w:style w:type="paragraph" w:styleId="11" w:customStyle="1">
    <w:name w:val="Основной текст1"/>
    <w:basedOn w:val="Normal"/>
    <w:qFormat/>
    <w:rsid w:val="00546e09"/>
    <w:pPr>
      <w:widowControl w:val="false"/>
      <w:spacing w:lineRule="auto" w:line="240" w:before="0" w:after="0"/>
      <w:jc w:val="both"/>
    </w:pPr>
    <w:rPr>
      <w:rFonts w:ascii="Times New Roman" w:hAnsi="Times New Roman" w:eastAsia="Times New Roman"/>
      <w:sz w:val="24"/>
      <w:szCs w:val="20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7224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CCE7A-1B17-4AA3-A369-AC93CD4B9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4694</TotalTime>
  <Application>LibreOffice/24.8.2.1$Windows_X86_64 LibreOffice_project/0f794b6e29741098670a3b95d60478a65d05ef13</Application>
  <AppVersion>15.0000</AppVersion>
  <Pages>7</Pages>
  <Words>1450</Words>
  <Characters>9756</Characters>
  <CharactersWithSpaces>11168</CharactersWithSpaces>
  <Paragraphs>152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2016-06-23T11:21:00Z</dcterms:created>
  <dc:creator>Иван</dc:creator>
  <dc:description/>
  <dc:language>ru-RU</dc:language>
  <cp:lastModifiedBy/>
  <cp:lastPrinted>2021-10-07T10:36:00Z</cp:lastPrinted>
  <dcterms:modified xsi:type="dcterms:W3CDTF">2024-10-08T19:47:46Z</dcterms:modified>
  <cp:revision>760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