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48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bookmarkStart w:id="0" w:name="_Toc454458431"/>
      <w:r>
        <w:rPr>
          <w:rFonts w:ascii="Times New Roman" w:hAnsi="Times New Roman"/>
          <w:i/>
          <w:sz w:val="28"/>
          <w:szCs w:val="28"/>
        </w:rPr>
        <w:t>транспорт, жилой фонд, потребительский рынок и сфера услуг, другое):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                  образование.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2.2.  Виды оказываемых услуг: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образовательные услуги.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2.3. Форма оказания услуг (</w:t>
      </w:r>
      <w:r>
        <w:rPr>
          <w:rFonts w:ascii="Times New Roman" w:hAnsi="Times New Roman"/>
          <w:i/>
          <w:sz w:val="28"/>
          <w:szCs w:val="28"/>
        </w:rPr>
        <w:t>на объекте, с длительным пребыванием, в т.ч. проживанием, на дому, дистанционно</w:t>
      </w:r>
      <w:r>
        <w:rPr>
          <w:rFonts w:ascii="Times New Roman" w:hAnsi="Times New Roman"/>
          <w:sz w:val="28"/>
          <w:szCs w:val="28"/>
        </w:rPr>
        <w:t xml:space="preserve">):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на объекте, на дому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Категории обслуживаемого населения по возрасту (</w:t>
      </w:r>
      <w:r>
        <w:rPr>
          <w:rFonts w:ascii="Times New Roman" w:hAnsi="Times New Roman"/>
          <w:i/>
          <w:sz w:val="28"/>
          <w:szCs w:val="28"/>
        </w:rPr>
        <w:t>дети, взрослые трудоспособного возраста, пожилые; все возрастные категории</w:t>
      </w:r>
      <w:r>
        <w:rPr>
          <w:rFonts w:ascii="Times New Roman" w:hAnsi="Times New Roman"/>
          <w:sz w:val="28"/>
          <w:szCs w:val="28"/>
        </w:rPr>
        <w:t>):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дети</w:t>
      </w:r>
    </w:p>
    <w:p>
      <w:pPr>
        <w:pStyle w:val="Normal"/>
        <w:widowControl w:val="false"/>
        <w:tabs>
          <w:tab w:val="clear" w:pos="708"/>
          <w:tab w:val="left" w:pos="602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eastAsia="Courier New" w:ascii="Times New Roman" w:hAnsi="Times New Roman"/>
          <w:bCs/>
          <w:color w:val="000000"/>
          <w:sz w:val="28"/>
          <w:szCs w:val="28"/>
        </w:rPr>
        <w:t>2.5.  Категории обслуживаемых инвалидов (</w:t>
      </w:r>
      <w:r>
        <w:rPr>
          <w:rFonts w:eastAsia="Courier New" w:ascii="Times New Roman" w:hAnsi="Times New Roman"/>
          <w:bCs/>
          <w:i/>
          <w:color w:val="000000"/>
          <w:sz w:val="28"/>
          <w:szCs w:val="28"/>
        </w:rPr>
        <w:t>К, О, С, Г, У</w:t>
      </w:r>
      <w:r>
        <w:rPr>
          <w:rFonts w:eastAsia="Courier New" w:ascii="Times New Roman" w:hAnsi="Times New Roman"/>
          <w:bCs/>
          <w:color w:val="000000"/>
          <w:sz w:val="28"/>
          <w:szCs w:val="28"/>
        </w:rPr>
        <w:t>):</w:t>
      </w:r>
      <w:r>
        <w:rPr>
          <w:rFonts w:eastAsia="Courier New"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eastAsia="Courier New" w:ascii="Times New Roman" w:hAnsi="Times New Roman"/>
          <w:bCs/>
          <w:i/>
          <w:color w:val="000000"/>
          <w:sz w:val="28"/>
          <w:szCs w:val="28"/>
          <w:u w:val="single"/>
        </w:rPr>
        <w:t>инвалиды с нарушениями опорно-двигательного аппарата, нарушениями зрения, нарушениями слуха, нарушениями умственного развития.</w:t>
      </w:r>
    </w:p>
    <w:p>
      <w:pPr>
        <w:pStyle w:val="ListParagraph"/>
        <w:widowControl w:val="false"/>
        <w:numPr>
          <w:ilvl w:val="1"/>
          <w:numId w:val="1"/>
        </w:numPr>
        <w:tabs>
          <w:tab w:val="clear" w:pos="708"/>
          <w:tab w:val="left" w:pos="602" w:leader="none"/>
        </w:tabs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Плановая мощность: (</w:t>
      </w:r>
      <w:r>
        <w:rPr>
          <w:rFonts w:ascii="Times New Roman" w:hAnsi="Times New Roman"/>
          <w:i/>
          <w:sz w:val="28"/>
          <w:szCs w:val="28"/>
        </w:rPr>
        <w:t>посещаемость (количество обслуживаемых в день), вместимость, пропускная способность</w:t>
      </w:r>
      <w:r>
        <w:rPr>
          <w:rFonts w:ascii="Times New Roman" w:hAnsi="Times New Roman"/>
          <w:sz w:val="28"/>
          <w:szCs w:val="28"/>
        </w:rPr>
        <w:t xml:space="preserve">): </w:t>
      </w:r>
      <w:r>
        <w:rPr>
          <w:rFonts w:ascii="Times New Roman" w:hAnsi="Times New Roman"/>
          <w:i/>
          <w:sz w:val="28"/>
          <w:szCs w:val="28"/>
          <w:u w:val="single"/>
        </w:rPr>
        <w:t>45 ч.</w:t>
      </w:r>
    </w:p>
    <w:p>
      <w:pPr>
        <w:pStyle w:val="ListParagraph"/>
        <w:widowControl w:val="false"/>
        <w:numPr>
          <w:ilvl w:val="1"/>
          <w:numId w:val="1"/>
        </w:numPr>
        <w:tabs>
          <w:tab w:val="clear" w:pos="708"/>
          <w:tab w:val="left" w:pos="602" w:leader="none"/>
        </w:tabs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Участие в исполнении ИПРА инвалида, ребенка-инвалида </w:t>
      </w:r>
      <w:r>
        <w:rPr>
          <w:rFonts w:ascii="Times New Roman" w:hAnsi="Times New Roman"/>
          <w:bCs/>
          <w:color w:val="000000"/>
          <w:sz w:val="28"/>
          <w:szCs w:val="28"/>
          <w:shd w:fill="FFFFFF" w:val="clear"/>
        </w:rPr>
        <w:t>(</w:t>
      </w:r>
      <w:r>
        <w:rPr>
          <w:rFonts w:ascii="Times New Roman" w:hAnsi="Times New Roman"/>
          <w:bCs/>
          <w:i/>
          <w:color w:val="000000"/>
          <w:sz w:val="28"/>
          <w:szCs w:val="28"/>
          <w:shd w:fill="FFFFFF" w:val="clear"/>
        </w:rPr>
        <w:t>да, нет</w:t>
      </w:r>
      <w:r>
        <w:rPr>
          <w:rFonts w:ascii="Times New Roman" w:hAnsi="Times New Roman"/>
          <w:bCs/>
          <w:color w:val="000000"/>
          <w:sz w:val="28"/>
          <w:szCs w:val="28"/>
          <w:shd w:fill="FFFFFF" w:val="clear"/>
        </w:rPr>
        <w:t>):</w:t>
      </w:r>
      <w:r>
        <w:rPr>
          <w:rFonts w:ascii="Times New Roman" w:hAnsi="Times New Roman"/>
          <w:bCs/>
          <w:color w:val="000000"/>
          <w:sz w:val="28"/>
          <w:szCs w:val="28"/>
          <w:u w:val="single"/>
          <w:shd w:fill="FFFFFF" w:val="clear"/>
        </w:rPr>
        <w:tab/>
        <w:tab/>
      </w:r>
      <w:r>
        <w:rPr>
          <w:rFonts w:ascii="Times New Roman" w:hAnsi="Times New Roman"/>
          <w:bCs/>
          <w:i/>
          <w:color w:val="000000"/>
          <w:sz w:val="28"/>
          <w:szCs w:val="28"/>
          <w:u w:val="single"/>
          <w:shd w:fill="FFFFFF" w:val="clear"/>
        </w:rPr>
        <w:t>нет</w:t>
      </w:r>
      <w:r>
        <w:rPr>
          <w:rFonts w:ascii="Times New Roman" w:hAnsi="Times New Roman"/>
          <w:bCs/>
          <w:color w:val="000000"/>
          <w:sz w:val="28"/>
          <w:szCs w:val="28"/>
          <w:u w:val="single"/>
          <w:shd w:fill="FFFFFF" w:val="clear"/>
        </w:rPr>
        <w:tab/>
        <w:tab/>
        <w:tab/>
        <w:tab/>
        <w:tab/>
        <w:tab/>
        <w:tab/>
        <w:tab/>
        <w:tab/>
        <w:tab/>
      </w:r>
      <w:bookmarkEnd w:id="0"/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Состояние доступности объекта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Путь следования к объекту пассажирским транспортом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описать маршрут движения с использованием пассажирского транспорта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i/>
          <w:sz w:val="28"/>
          <w:szCs w:val="28"/>
          <w:u w:val="single"/>
        </w:rPr>
        <w:t>пригородный пассажирский транспорт, автобус: № 502Х до Автовокзала Тобольска; № 502Б до с. Новая Бишура; № 537 до Автостанции с. Байкалово;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адаптированного пассажирского транспорта к объекту: </w:t>
      </w:r>
      <w:r>
        <w:rPr>
          <w:rFonts w:ascii="Times New Roman" w:hAnsi="Times New Roman"/>
          <w:sz w:val="28"/>
          <w:szCs w:val="28"/>
          <w:u w:val="single"/>
        </w:rPr>
        <w:tab/>
        <w:t xml:space="preserve">  </w:t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 Путь к объекту от ближайшей остановки пассажирского транспорта: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3.2.1 расстояние до объекта от остановки транспорта: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310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м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3.2.2 время движения (пешком):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 xml:space="preserve">   4-5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>мин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3.2.3 наличие выделенного от проезжей части пешеходного пути (</w:t>
      </w:r>
      <w:r>
        <w:rPr>
          <w:rFonts w:ascii="Times New Roman" w:hAnsi="Times New Roman"/>
          <w:i/>
          <w:sz w:val="28"/>
          <w:szCs w:val="28"/>
        </w:rPr>
        <w:t>да, нет</w:t>
      </w:r>
      <w:r>
        <w:rPr>
          <w:rFonts w:ascii="Times New Roman" w:hAnsi="Times New Roman"/>
          <w:sz w:val="28"/>
          <w:szCs w:val="28"/>
        </w:rPr>
        <w:t xml:space="preserve">): 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3.2.4 Перекрестки (</w:t>
      </w:r>
      <w:r>
        <w:rPr>
          <w:rFonts w:ascii="Times New Roman" w:hAnsi="Times New Roman"/>
          <w:i/>
          <w:sz w:val="28"/>
          <w:szCs w:val="28"/>
        </w:rPr>
        <w:t>нерегулируемые; регулируемые, со звуковой сигнализацией, таймером; нет)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u w:val="single"/>
        </w:rPr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>
        <w:rPr>
          <w:rFonts w:ascii="Times New Roman" w:hAnsi="Times New Roman"/>
          <w:sz w:val="28"/>
          <w:szCs w:val="28"/>
          <w:u w:val="single"/>
        </w:rPr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3.2.5 Информация на пути следования к объекту: (</w:t>
      </w:r>
      <w:r>
        <w:rPr>
          <w:rFonts w:ascii="Times New Roman" w:hAnsi="Times New Roman"/>
          <w:i/>
          <w:sz w:val="28"/>
          <w:szCs w:val="28"/>
        </w:rPr>
        <w:t>акустическая, тактильная, визуальная; нет)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>
        <w:rPr>
          <w:rFonts w:ascii="Times New Roman" w:hAnsi="Times New Roman"/>
          <w:sz w:val="28"/>
          <w:szCs w:val="28"/>
          <w:u w:val="single"/>
        </w:rPr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3.2.6 Перепады высоты на пути: (</w:t>
      </w:r>
      <w:r>
        <w:rPr>
          <w:rFonts w:ascii="Times New Roman" w:hAnsi="Times New Roman"/>
          <w:i/>
          <w:sz w:val="28"/>
          <w:szCs w:val="28"/>
        </w:rPr>
        <w:t xml:space="preserve">есть, нет): </w:t>
      </w:r>
      <w:r>
        <w:rPr>
          <w:rFonts w:ascii="Times New Roman" w:hAnsi="Times New Roman"/>
          <w:sz w:val="28"/>
          <w:szCs w:val="28"/>
          <w:u w:val="single"/>
        </w:rPr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3.3. Организация доступности объекта для МГН – форма обслуживания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W w:w="932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0"/>
        <w:gridCol w:w="4111"/>
        <w:gridCol w:w="4661"/>
      </w:tblGrid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1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>
            <w:pPr>
              <w:pStyle w:val="Normal"/>
              <w:spacing w:lineRule="auto" w:line="240" w:before="0" w:after="0"/>
              <w:ind w:hanging="1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Категория МГН</w:t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(вид нарушения)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Вариант организации доступности объекта</w:t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(формы обслуживания)*</w:t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категории  МГН</w:t>
            </w:r>
          </w:p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  <w:i/>
                <w:i/>
              </w:rPr>
            </w:pPr>
            <w:r>
              <w:rPr>
                <w:rFonts w:ascii="Times New Roman" w:hAnsi="Times New Roman"/>
                <w:i/>
              </w:rPr>
              <w:t>в том числе: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rPr>
          <w:trHeight w:val="41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передвигающиеся на креслах-колясках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ВНД</w:t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опорно-двигательного аппарата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>
        <w:trPr>
          <w:trHeight w:val="47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зрения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>
        <w:trPr>
          <w:trHeight w:val="419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слуха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>
        <w:trPr>
          <w:trHeight w:val="411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умственного развития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</w:tr>
    </w:tbl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* - указывается один из вариантов: «А», «Б», «ДУ», «ВНД»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3.4. Состояние доступности основных структурно-функциональных зон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W w:w="936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7"/>
        <w:gridCol w:w="4111"/>
        <w:gridCol w:w="4697"/>
      </w:tblGrid>
      <w:tr>
        <w:trPr>
          <w:trHeight w:val="276" w:hRule="atLeast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left="-80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>
            <w:pPr>
              <w:pStyle w:val="Normal"/>
              <w:spacing w:lineRule="auto" w:line="240" w:before="0" w:after="0"/>
              <w:ind w:left="-80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Основные структурно-функциональные зоны</w:t>
            </w:r>
          </w:p>
        </w:tc>
        <w:tc>
          <w:tcPr>
            <w:tcW w:w="4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08"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Состояние доступности,</w:t>
            </w:r>
          </w:p>
          <w:p>
            <w:pPr>
              <w:pStyle w:val="Normal"/>
              <w:spacing w:lineRule="auto" w:line="240" w:before="0" w:after="0"/>
              <w:ind w:firstLine="108"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том числе для основных категорий МГН</w:t>
            </w:r>
          </w:p>
        </w:tc>
      </w:tr>
      <w:tr>
        <w:trPr>
          <w:trHeight w:val="276" w:hRule="atLeast"/>
        </w:trPr>
        <w:tc>
          <w:tcPr>
            <w:tcW w:w="5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11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Территория, прилегающая к зданию (участок)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ДЧ-И (Г, У); ДУ (К, О, С)</w:t>
            </w:r>
          </w:p>
        </w:tc>
      </w:tr>
      <w:tr>
        <w:trPr>
          <w:trHeight w:val="351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 (входы) в здание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(Г, У); ДУ (О, С);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Путь (пути) движения внутри здания (в т. ч. пути эвакуации)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1088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ДЧ-И (Г, У); ДУ (О, С);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1540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(У); ДЧ-И (О, С); ДУ (К, Г)</w:t>
            </w:r>
          </w:p>
        </w:tc>
      </w:tr>
      <w:tr>
        <w:trPr>
          <w:trHeight w:val="431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Санитарно-гигиенические помещения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(С, Г, У); ДЧ-И (О);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информации и связи (на всех зонах)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ДЧ-И (К, О, У); ДУ (С, Г)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**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3.5. ИТОГОВОЕ ЗАКЛЮЧЕНИЕ о состоянии доступности ОСИ</w:t>
      </w:r>
      <w:r>
        <w:rPr>
          <w:rFonts w:ascii="Times New Roman" w:hAnsi="Times New Roman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Общее состояние доступности объекта оценено: доступное полностью для инвалидов категории У (ДП-И (У)), доступное условно для инвалидов категории О, С, Г (ДУ (О, С, Г)) и временно недоступно для инвалидов категории К (ВНД (К)).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Управленческое решение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по адаптации основных структурно-функциональных зон объекта</w:t>
      </w:r>
    </w:p>
    <w:p>
      <w:pPr>
        <w:pStyle w:val="ListParagraph"/>
        <w:spacing w:lineRule="auto" w:line="240" w:before="0" w:after="0"/>
        <w:ind w:left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Style w:val="a8"/>
        <w:tblW w:w="9360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0"/>
        <w:gridCol w:w="2665"/>
        <w:gridCol w:w="6135"/>
      </w:tblGrid>
      <w:tr>
        <w:trPr>
          <w:trHeight w:val="982" w:hRule="atLeast"/>
        </w:trPr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п/п</w:t>
            </w:r>
          </w:p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665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Основные структурно-функциональные зоны объекта</w:t>
            </w:r>
          </w:p>
        </w:tc>
        <w:tc>
          <w:tcPr>
            <w:tcW w:w="6135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Рекомендации по адаптации объекта (виды работ)</w:t>
            </w:r>
          </w:p>
        </w:tc>
      </w:tr>
      <w:tr>
        <w:trPr>
          <w:trHeight w:val="553" w:hRule="atLeast"/>
        </w:trPr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266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Территория, прилегающая к зданию (участок)</w:t>
            </w:r>
          </w:p>
        </w:tc>
        <w:tc>
          <w:tcPr>
            <w:tcW w:w="6135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Текущий ремонт; организационные мероприятия</w:t>
            </w:r>
          </w:p>
        </w:tc>
      </w:tr>
      <w:tr>
        <w:trPr>
          <w:trHeight w:val="547" w:hRule="atLeast"/>
        </w:trPr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</w:t>
            </w:r>
          </w:p>
        </w:tc>
        <w:tc>
          <w:tcPr>
            <w:tcW w:w="266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Вход (входы) в здание</w:t>
            </w:r>
          </w:p>
        </w:tc>
        <w:tc>
          <w:tcPr>
            <w:tcW w:w="6135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Текущий ремонт; оказание ситуационной помощи; индивидуальное решение с ТСР; организационные мероприятия</w:t>
            </w:r>
          </w:p>
        </w:tc>
      </w:tr>
      <w:tr>
        <w:trPr/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266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Путь (пути) движения внутри здания (в т. ч. пути эвакуации)</w:t>
            </w:r>
          </w:p>
        </w:tc>
        <w:tc>
          <w:tcPr>
            <w:tcW w:w="6135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Текущий ремонт; оказание ситуационной помощи; индивидуальное решение с ТСР; организационные мероприятия</w:t>
            </w:r>
          </w:p>
        </w:tc>
      </w:tr>
      <w:tr>
        <w:trPr/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4</w:t>
            </w:r>
          </w:p>
        </w:tc>
        <w:tc>
          <w:tcPr>
            <w:tcW w:w="266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Зона целевого назначения здания (целевого посещения объекта)</w:t>
            </w:r>
          </w:p>
        </w:tc>
        <w:tc>
          <w:tcPr>
            <w:tcW w:w="6135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Текущий ремонт; организационные мероприятия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486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b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720" w:hanging="720"/>
      </w:pPr>
      <w:rPr>
        <w:b w:val="fals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 w:val="fals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 w:val="fals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b w:val="fals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 w:val="fals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b w:val="fals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b w:val="false"/>
      </w:rPr>
    </w:lvl>
  </w:abstractNum>
  <w:abstractNum w:abstractNumId="2"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isLgl/>
      <w:numFmt w:val="decimal"/>
      <w:lvlText w:val="%1.%2."/>
      <w:lvlJc w:val="left"/>
      <w:pPr>
        <w:tabs>
          <w:tab w:val="num" w:pos="0"/>
        </w:tabs>
        <w:ind w:left="1080" w:hanging="720"/>
      </w:pPr>
      <w:rPr/>
    </w:lvl>
    <w:lvl w:ilvl="2">
      <w:start w:val="1"/>
      <w:isLgl/>
      <w:numFmt w:val="decimal"/>
      <w:lvlText w:val="%1.%2.%3."/>
      <w:lvlJc w:val="left"/>
      <w:pPr>
        <w:tabs>
          <w:tab w:val="num" w:pos="0"/>
        </w:tabs>
        <w:ind w:left="1080" w:hanging="720"/>
      </w:pPr>
      <w:rPr/>
    </w:lvl>
    <w:lvl w:ilvl="3">
      <w:start w:val="1"/>
      <w:isLgl/>
      <w:numFmt w:val="decimal"/>
      <w:lvlText w:val="%1.%2.%3.%4."/>
      <w:lvlJc w:val="left"/>
      <w:pPr>
        <w:tabs>
          <w:tab w:val="num" w:pos="0"/>
        </w:tabs>
        <w:ind w:left="1440" w:hanging="1080"/>
      </w:pPr>
      <w:rPr/>
    </w:lvl>
    <w:lvl w:ilvl="4">
      <w:start w:val="1"/>
      <w:isLgl/>
      <w:numFmt w:val="decimal"/>
      <w:lvlText w:val="%1.%2.%3.%4.%5."/>
      <w:lvlJc w:val="left"/>
      <w:pPr>
        <w:tabs>
          <w:tab w:val="num" w:pos="0"/>
        </w:tabs>
        <w:ind w:left="1440" w:hanging="1080"/>
      </w:pPr>
      <w:rPr/>
    </w:lvl>
    <w:lvl w:ilvl="5">
      <w:start w:val="1"/>
      <w:isLgl/>
      <w:numFmt w:val="decimal"/>
      <w:lvlText w:val="%1.%2.%3.%4.%5.%6."/>
      <w:lvlJc w:val="left"/>
      <w:pPr>
        <w:tabs>
          <w:tab w:val="num" w:pos="0"/>
        </w:tabs>
        <w:ind w:left="1800" w:hanging="1440"/>
      </w:pPr>
      <w:rPr/>
    </w:lvl>
    <w:lvl w:ilvl="6">
      <w:start w:val="1"/>
      <w:isLgl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/>
    </w:lvl>
    <w:lvl w:ilvl="7">
      <w:start w:val="1"/>
      <w:isLgl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/>
    </w:lvl>
    <w:lvl w:ilvl="8">
      <w:start w:val="1"/>
      <w:isLgl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15570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815570"/>
    <w:pPr>
      <w:keepNext w:val="true"/>
      <w:keepLines/>
      <w:spacing w:lineRule="auto" w:line="240" w:before="0" w:after="0"/>
      <w:jc w:val="center"/>
      <w:outlineLvl w:val="0"/>
    </w:pPr>
    <w:rPr>
      <w:rFonts w:ascii="Times New Roman" w:hAnsi="Times New Roman" w:eastAsia="" w:cs="" w:cstheme="majorBidi"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815570"/>
    <w:pPr>
      <w:keepNext w:val="true"/>
      <w:keepLines/>
      <w:spacing w:lineRule="auto" w:line="240" w:before="0" w:after="0"/>
      <w:jc w:val="center"/>
      <w:outlineLvl w:val="1"/>
    </w:pPr>
    <w:rPr>
      <w:rFonts w:ascii="Times New Roman" w:hAnsi="Times New Roman" w:eastAsia="" w:cs="" w:cstheme="majorBidi" w:eastAsiaTheme="majorEastAsia"/>
      <w:b/>
      <w:bCs/>
      <w:color w:themeColor="text1" w:val="000000"/>
      <w:sz w:val="28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uiPriority w:val="9"/>
    <w:qFormat/>
    <w:rsid w:val="00815570"/>
    <w:rPr>
      <w:rFonts w:ascii="Times New Roman" w:hAnsi="Times New Roman" w:eastAsia="" w:cs="" w:cstheme="majorBidi" w:eastAsiaTheme="majorEastAsia"/>
      <w:b/>
      <w:bCs/>
      <w:sz w:val="28"/>
      <w:szCs w:val="28"/>
    </w:rPr>
  </w:style>
  <w:style w:type="character" w:styleId="2" w:customStyle="1">
    <w:name w:val="Заголовок 2 Знак"/>
    <w:basedOn w:val="DefaultParagraphFont"/>
    <w:uiPriority w:val="9"/>
    <w:qFormat/>
    <w:rsid w:val="00815570"/>
    <w:rPr>
      <w:rFonts w:ascii="Times New Roman" w:hAnsi="Times New Roman" w:eastAsia="" w:cs="" w:cstheme="majorBidi" w:eastAsiaTheme="majorEastAsia"/>
      <w:b/>
      <w:bCs/>
      <w:color w:themeColor="text1" w:val="000000"/>
      <w:sz w:val="28"/>
      <w:szCs w:val="26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d63c3"/>
    <w:rPr>
      <w:rFonts w:ascii="Calibri" w:hAnsi="Calibri" w:eastAsia="Calibri" w:cs="Times New Roman"/>
    </w:rPr>
  </w:style>
  <w:style w:type="character" w:styleId="Style13" w:customStyle="1">
    <w:name w:val="Нижний колонтитул Знак"/>
    <w:basedOn w:val="DefaultParagraphFont"/>
    <w:uiPriority w:val="99"/>
    <w:qFormat/>
    <w:rsid w:val="005d63c3"/>
    <w:rPr>
      <w:rFonts w:ascii="Calibri" w:hAnsi="Calibri" w:eastAsia="Calibri" w:cs="Times New Roma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2"/>
    <w:uiPriority w:val="99"/>
    <w:unhideWhenUsed/>
    <w:rsid w:val="005d6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3"/>
    <w:uiPriority w:val="99"/>
    <w:unhideWhenUsed/>
    <w:rsid w:val="005d6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b80b1e"/>
    <w:pPr>
      <w:spacing w:before="0" w:after="200"/>
      <w:ind w:left="720"/>
      <w:contextualSpacing/>
    </w:pPr>
    <w:rPr/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1427d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3C065-6BB6-4A51-97E4-6D20FBEF3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1796</TotalTime>
  <Application>LibreOffice/24.8.2.1$Windows_X86_64 LibreOffice_project/0f794b6e29741098670a3b95d60478a65d05ef13</Application>
  <AppVersion>15.0000</AppVersion>
  <Pages>4</Pages>
  <Words>543</Words>
  <Characters>3404</Characters>
  <CharactersWithSpaces>3935</CharactersWithSpaces>
  <Paragraphs>87</Paragraphs>
  <Company>RePack by SPecialiST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2016-06-23T11:21:00Z</dcterms:created>
  <dc:creator>Иван</dc:creator>
  <dc:description/>
  <dc:language>ru-RU</dc:language>
  <cp:lastModifiedBy/>
  <cp:lastPrinted>2016-09-02T09:37:00Z</cp:lastPrinted>
  <dcterms:modified xsi:type="dcterms:W3CDTF">2024-10-08T19:53:44Z</dcterms:modified>
  <cp:revision>304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